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5 -->
  <w:body>
    <w:p w:rsidR="007348C4" w:rsidRPr="00C90ACE" w:rsidP="00C90ACE">
      <w:pPr>
        <w:bidi w:val="0"/>
        <w:jc w:val="center"/>
        <w:rPr>
          <w:rFonts w:ascii="Verdana" w:hAnsi="Verdana"/>
          <w:b/>
          <w:sz w:val="28"/>
          <w:szCs w:val="28"/>
        </w:rPr>
      </w:pPr>
      <w:r>
        <w:rPr>
          <w:rFonts w:ascii="Verdana" w:hAnsi="Verdana"/>
          <w:b/>
          <w:bCs/>
          <w:i w:val="0"/>
          <w:iCs w:val="0"/>
          <w:sz w:val="28"/>
          <w:szCs w:val="28"/>
          <w:u w:val="none"/>
          <w:vertAlign w:val="baseline"/>
          <w:rtl w:val="0"/>
        </w:rPr>
        <w:t>SPECIFICATIONS</w:t>
      </w:r>
    </w:p>
    <w:tbl>
      <w:tblPr>
        <w:tblpPr w:leftFromText="141" w:rightFromText="141"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40"/>
      </w:tblGrid>
      <w:tr w:rsidTr="002263E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2988" w:type="dxa"/>
            <w:shd w:val="clear" w:color="auto" w:fill="BDD6EE"/>
          </w:tcPr>
          <w:p w:rsidR="00175A46" w:rsidRPr="00C90ACE" w:rsidP="00175A46">
            <w:pPr>
              <w:bidi w:val="0"/>
              <w:jc w:val="both"/>
              <w:rPr>
                <w:rFonts w:ascii="Verdana" w:hAnsi="Verdana" w:cs="Arial"/>
                <w:b/>
                <w:sz w:val="20"/>
                <w:szCs w:val="20"/>
              </w:rPr>
            </w:pPr>
            <w:r>
              <w:rPr>
                <w:rFonts w:ascii="Verdana" w:hAnsi="Verdana" w:cs="Arial"/>
                <w:b/>
                <w:bCs/>
                <w:i w:val="0"/>
                <w:iCs w:val="0"/>
                <w:sz w:val="20"/>
                <w:szCs w:val="20"/>
                <w:u w:val="none"/>
                <w:vertAlign w:val="baseline"/>
                <w:rtl w:val="0"/>
              </w:rPr>
              <w:t>Subject of the contract</w:t>
            </w:r>
          </w:p>
        </w:tc>
        <w:tc>
          <w:tcPr>
            <w:tcW w:w="5940" w:type="dxa"/>
            <w:shd w:val="clear" w:color="auto" w:fill="auto"/>
          </w:tcPr>
          <w:p w:rsidR="00175A46" w:rsidRPr="00175A46" w:rsidP="00175A46">
            <w:pPr>
              <w:bidi w:val="0"/>
              <w:spacing w:after="0" w:line="240" w:lineRule="auto"/>
              <w:rPr>
                <w:rFonts w:ascii="Verdana" w:hAnsi="Verdana" w:cs="Arial"/>
                <w:b/>
                <w:sz w:val="20"/>
                <w:szCs w:val="20"/>
              </w:rPr>
            </w:pPr>
            <w:r>
              <w:rPr>
                <w:rFonts w:ascii="Verdana" w:hAnsi="Verdana" w:cs="Arial"/>
                <w:b/>
                <w:bCs/>
                <w:i w:val="0"/>
                <w:iCs w:val="0"/>
                <w:sz w:val="20"/>
                <w:szCs w:val="20"/>
                <w:u w:val="none"/>
                <w:vertAlign w:val="baseline"/>
                <w:rtl w:val="0"/>
              </w:rPr>
              <w:t>Online publication of the scientific journal Zdravstveno varstvo, use of the Editorial Manager programme and indexing in databases</w:t>
            </w:r>
          </w:p>
        </w:tc>
      </w:tr>
      <w:tr w:rsidTr="002263EA">
        <w:tblPrEx>
          <w:tblW w:w="0" w:type="auto"/>
          <w:tblLook w:val="01E0"/>
        </w:tblPrEx>
        <w:trPr>
          <w:trHeight w:val="266"/>
        </w:trPr>
        <w:tc>
          <w:tcPr>
            <w:tcW w:w="2988" w:type="dxa"/>
            <w:shd w:val="clear" w:color="auto" w:fill="BDD6EE"/>
          </w:tcPr>
          <w:p w:rsidR="006B45C4" w:rsidRPr="00C90ACE" w:rsidP="006B45C4">
            <w:pPr>
              <w:bidi w:val="0"/>
              <w:jc w:val="both"/>
              <w:rPr>
                <w:rFonts w:ascii="Verdana" w:hAnsi="Verdana" w:cs="Arial"/>
                <w:b/>
                <w:sz w:val="20"/>
                <w:szCs w:val="20"/>
              </w:rPr>
            </w:pPr>
            <w:r>
              <w:rPr>
                <w:rFonts w:ascii="Verdana" w:hAnsi="Verdana" w:cs="Arial"/>
                <w:b/>
                <w:bCs/>
                <w:i w:val="0"/>
                <w:iCs w:val="0"/>
                <w:sz w:val="20"/>
                <w:szCs w:val="20"/>
                <w:u w:val="none"/>
                <w:vertAlign w:val="baseline"/>
                <w:rtl w:val="0"/>
              </w:rPr>
              <w:t xml:space="preserve">Type </w:t>
            </w:r>
          </w:p>
        </w:tc>
        <w:tc>
          <w:tcPr>
            <w:tcW w:w="5940" w:type="dxa"/>
            <w:shd w:val="clear" w:color="auto" w:fill="FFFFFF"/>
          </w:tcPr>
          <w:p w:rsidR="006B45C4" w:rsidRPr="00C90ACE" w:rsidP="006B45C4">
            <w:pPr>
              <w:bidi w:val="0"/>
              <w:spacing w:after="0" w:line="240" w:lineRule="auto"/>
              <w:rPr>
                <w:rFonts w:ascii="Verdana" w:hAnsi="Verdana" w:cs="Arial"/>
                <w:b/>
                <w:sz w:val="20"/>
                <w:szCs w:val="20"/>
              </w:rPr>
            </w:pPr>
            <w:r>
              <w:rPr>
                <w:rFonts w:ascii="Verdana" w:hAnsi="Verdana" w:cs="Arial"/>
                <w:b/>
                <w:bCs/>
                <w:i w:val="0"/>
                <w:iCs w:val="0"/>
                <w:sz w:val="20"/>
                <w:szCs w:val="20"/>
                <w:u w:val="none"/>
                <w:vertAlign w:val="baseline"/>
                <w:rtl w:val="0"/>
              </w:rPr>
              <w:t>Simplified procedure</w:t>
            </w:r>
          </w:p>
        </w:tc>
      </w:tr>
      <w:tr w:rsidTr="002263EA">
        <w:tblPrEx>
          <w:tblW w:w="0" w:type="auto"/>
          <w:tblLook w:val="01E0"/>
        </w:tblPrEx>
        <w:trPr>
          <w:trHeight w:val="399"/>
        </w:trPr>
        <w:tc>
          <w:tcPr>
            <w:tcW w:w="2988" w:type="dxa"/>
            <w:shd w:val="clear" w:color="auto" w:fill="BDD6EE"/>
          </w:tcPr>
          <w:p w:rsidR="006B45C4" w:rsidRPr="00C90ACE" w:rsidP="006B45C4">
            <w:pPr>
              <w:bidi w:val="0"/>
              <w:jc w:val="both"/>
              <w:rPr>
                <w:rFonts w:ascii="Verdana" w:hAnsi="Verdana" w:cs="Arial"/>
                <w:b/>
                <w:sz w:val="20"/>
                <w:szCs w:val="20"/>
              </w:rPr>
            </w:pPr>
            <w:r>
              <w:rPr>
                <w:rFonts w:ascii="Verdana" w:hAnsi="Verdana" w:cs="Arial"/>
                <w:b/>
                <w:bCs/>
                <w:i w:val="0"/>
                <w:iCs w:val="0"/>
                <w:sz w:val="20"/>
                <w:szCs w:val="20"/>
                <w:u w:val="none"/>
                <w:vertAlign w:val="baseline"/>
                <w:rtl w:val="0"/>
              </w:rPr>
              <w:t>Tender reference number</w:t>
            </w:r>
          </w:p>
        </w:tc>
        <w:tc>
          <w:tcPr>
            <w:tcW w:w="5940" w:type="dxa"/>
            <w:shd w:val="clear" w:color="auto" w:fill="FFFFFF"/>
          </w:tcPr>
          <w:p w:rsidR="006B45C4" w:rsidRPr="00C90ACE" w:rsidP="006B45C4">
            <w:pPr>
              <w:bidi w:val="0"/>
              <w:spacing w:after="0" w:line="240" w:lineRule="auto"/>
              <w:rPr>
                <w:rFonts w:ascii="Verdana" w:hAnsi="Verdana" w:cs="Arial"/>
                <w:b/>
                <w:sz w:val="20"/>
                <w:szCs w:val="20"/>
              </w:rPr>
            </w:pPr>
            <w:r>
              <w:rPr>
                <w:rFonts w:ascii="Verdana" w:hAnsi="Verdana" w:cs="Arial"/>
                <w:b/>
                <w:bCs/>
                <w:i w:val="0"/>
                <w:iCs w:val="0"/>
                <w:sz w:val="20"/>
                <w:szCs w:val="20"/>
                <w:u w:val="none"/>
                <w:vertAlign w:val="baseline"/>
                <w:rtl w:val="0"/>
              </w:rPr>
              <w:t>80K240821</w:t>
            </w:r>
          </w:p>
        </w:tc>
      </w:tr>
    </w:tbl>
    <w:p w:rsidR="00086BCD" w:rsidRPr="00C90ACE">
      <w:pPr>
        <w:rPr>
          <w:rFonts w:ascii="Verdana" w:hAnsi="Verdana"/>
        </w:rPr>
      </w:pPr>
    </w:p>
    <w:p w:rsidR="005B0C4C" w:rsidRPr="00C90ACE" w:rsidP="00D26B21">
      <w:pPr>
        <w:bidi w:val="0"/>
        <w:jc w:val="both"/>
        <w:rPr>
          <w:rFonts w:ascii="Verdana" w:hAnsi="Verdana" w:cs="Helvetica"/>
          <w:sz w:val="20"/>
          <w:szCs w:val="20"/>
        </w:rPr>
      </w:pPr>
      <w:r>
        <w:rPr>
          <w:rFonts w:ascii="Verdana" w:hAnsi="Verdana"/>
          <w:b w:val="0"/>
          <w:bCs w:val="0"/>
          <w:i w:val="0"/>
          <w:iCs w:val="0"/>
          <w:sz w:val="20"/>
          <w:szCs w:val="20"/>
          <w:u w:val="none"/>
          <w:vertAlign w:val="baseline"/>
          <w:rtl w:val="0"/>
        </w:rPr>
        <w:t xml:space="preserve">The subject of the contract is publication of the scientific journal Zdravstveno varstvo (Slovenian Journal of Public Health), online version ISSN </w:t>
      </w:r>
      <w:hyperlink r:id="rId4" w:history="1">
        <w:r>
          <w:rPr>
            <w:rStyle w:val="Hyperlink"/>
            <w:rFonts w:ascii="Verdana" w:hAnsi="Verdana" w:cs="Helvetica"/>
            <w:b w:val="0"/>
            <w:bCs w:val="0"/>
            <w:i w:val="0"/>
            <w:iCs w:val="0"/>
            <w:color w:val="auto"/>
            <w:sz w:val="20"/>
            <w:szCs w:val="20"/>
            <w:u w:val="single"/>
            <w:vertAlign w:val="baseline"/>
            <w:rtl w:val="0"/>
          </w:rPr>
          <w:t>1854-2476</w:t>
        </w:r>
      </w:hyperlink>
      <w:r>
        <w:rPr>
          <w:rFonts w:ascii="Verdana" w:hAnsi="Verdana"/>
          <w:b w:val="0"/>
          <w:bCs w:val="0"/>
          <w:i w:val="0"/>
          <w:iCs w:val="0"/>
          <w:sz w:val="20"/>
          <w:szCs w:val="20"/>
          <w:u w:val="none"/>
          <w:vertAlign w:val="baseline"/>
          <w:rtl w:val="0"/>
        </w:rPr>
        <w:t xml:space="preserve"> on the website of a prominent international scientific publisher. </w:t>
      </w:r>
    </w:p>
    <w:p w:rsidR="00C343A0" w:rsidRPr="00C90ACE" w:rsidP="00D26B21">
      <w:p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 xml:space="preserve">The journal seeks to appear as an open access publication, it does not intend to charge APC costs, copyright is held by the NIJZ. </w:t>
      </w:r>
    </w:p>
    <w:p w:rsidR="00C343A0" w:rsidRPr="00454341" w:rsidP="00D26B21">
      <w:p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 xml:space="preserve">The journal is a quarterly and each year publishes around 35 peer-reviewed scientific articles. </w:t>
      </w:r>
    </w:p>
    <w:p w:rsidR="00C343A0" w:rsidRPr="00454341" w:rsidP="00D26B21">
      <w:p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 xml:space="preserve">We are seeking a publisher for a 3-year period (2022-2024). </w:t>
      </w:r>
    </w:p>
    <w:p w:rsidR="00C343A0" w:rsidRPr="00454341" w:rsidP="00D26B21">
      <w:p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 xml:space="preserve">We edit articles using the Editorial Manager programme, which the publisher should offer as a tool for working with full software, educational and service support. Each year we receive for editing around 180 manuscripts. We check for plagiarism using the CrossCheck programme, which the publisher should also provide. </w:t>
      </w:r>
    </w:p>
    <w:p w:rsidR="00D26B21" w:rsidRPr="00C90ACE" w:rsidP="00D26B21">
      <w:p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The publisher should also take over indexing in bibliographical and full-text databases in which the journal Zdravstveno varstvo already participates, and in databases that will appear in the future and enhance the journal’s recognition. We require the conversion into full-text XML format of approximately 250 pages annually.</w:t>
      </w:r>
    </w:p>
    <w:p w:rsidR="001923B2" w:rsidRPr="00C90ACE" w:rsidP="001923B2">
      <w:pPr>
        <w:shd w:val="clear" w:color="auto" w:fill="FFFFFF" w:themeFill="background1"/>
        <w:bidi w:val="0"/>
        <w:spacing w:before="240"/>
        <w:ind w:right="240"/>
        <w:jc w:val="both"/>
        <w:rPr>
          <w:rFonts w:ascii="Verdana" w:hAnsi="Verdana" w:cs="Arial"/>
          <w:b/>
          <w:sz w:val="20"/>
          <w:szCs w:val="20"/>
        </w:rPr>
      </w:pPr>
      <w:r>
        <w:rPr>
          <w:rFonts w:ascii="Verdana" w:hAnsi="Verdana" w:cs="Arial"/>
          <w:b/>
          <w:bCs/>
          <w:i w:val="0"/>
          <w:iCs w:val="0"/>
          <w:sz w:val="20"/>
          <w:szCs w:val="20"/>
          <w:u w:val="none"/>
          <w:vertAlign w:val="baseline"/>
          <w:rtl w:val="0"/>
        </w:rPr>
        <w:t>THE TENDERER MUST PROVIDE:</w:t>
      </w:r>
    </w:p>
    <w:p w:rsidR="00D26B21" w:rsidRPr="00C90ACE" w:rsidP="00D26B21">
      <w:pPr>
        <w:pStyle w:val="ListParagraph"/>
        <w:numPr>
          <w:ilvl w:val="0"/>
          <w:numId w:val="1"/>
        </w:num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a journal website;</w:t>
      </w:r>
    </w:p>
    <w:p w:rsidR="00D26B21" w:rsidRPr="00454341" w:rsidP="00D26B21">
      <w:pPr>
        <w:pStyle w:val="ListParagraph"/>
        <w:numPr>
          <w:ilvl w:val="0"/>
          <w:numId w:val="1"/>
        </w:numPr>
        <w:bidi w:val="0"/>
        <w:jc w:val="both"/>
        <w:rPr>
          <w:rFonts w:ascii="Verdana" w:hAnsi="Verdana" w:cs="Helvetica"/>
          <w:sz w:val="20"/>
          <w:szCs w:val="20"/>
        </w:rPr>
      </w:pPr>
      <w:r>
        <w:rPr>
          <w:rFonts w:ascii="Verdana" w:hAnsi="Verdana"/>
          <w:b w:val="0"/>
          <w:bCs w:val="0"/>
          <w:i w:val="0"/>
          <w:iCs w:val="0"/>
          <w:sz w:val="20"/>
          <w:szCs w:val="20"/>
          <w:u w:val="none"/>
          <w:vertAlign w:val="baseline"/>
          <w:rtl w:val="0"/>
        </w:rPr>
        <w:t>a platform for publication, distribution and long-term access to archive content of the journal, comprising around 35 articles each year;</w:t>
      </w:r>
    </w:p>
    <w:p w:rsidR="00D26B21" w:rsidRPr="00454341" w:rsidP="00D26B21">
      <w:pPr>
        <w:pStyle w:val="ListParagraph"/>
        <w:numPr>
          <w:ilvl w:val="0"/>
          <w:numId w:val="1"/>
        </w:num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a system for reviewing plagiarism;</w:t>
      </w:r>
    </w:p>
    <w:p w:rsidR="00D26B21" w:rsidRPr="00454341" w:rsidP="00D26B21">
      <w:pPr>
        <w:pStyle w:val="ListParagraph"/>
        <w:numPr>
          <w:ilvl w:val="0"/>
          <w:numId w:val="1"/>
        </w:numPr>
        <w:bidi w:val="0"/>
        <w:jc w:val="both"/>
        <w:rPr>
          <w:rFonts w:ascii="Verdana" w:hAnsi="Verdana" w:cs="Helvetica"/>
          <w:sz w:val="20"/>
          <w:szCs w:val="20"/>
        </w:rPr>
      </w:pPr>
      <w:r>
        <w:rPr>
          <w:rFonts w:ascii="Verdana" w:hAnsi="Verdana" w:cs="Helvetica"/>
          <w:b w:val="0"/>
          <w:bCs w:val="0"/>
          <w:i w:val="0"/>
          <w:iCs w:val="0"/>
          <w:sz w:val="20"/>
          <w:szCs w:val="20"/>
          <w:u w:val="none"/>
          <w:vertAlign w:val="baseline"/>
          <w:rtl w:val="0"/>
        </w:rPr>
        <w:t>a system for online submission of manuscripts and journal editing (expressly the Editorial Manager system); online submission of manuscripts, support for the review and editorial process, support for authors, editors and reviewers including education, long-term storage of manuscript archives, articles, reviews and editorial decisions. Around 180 manuscripts are received annually;</w:t>
      </w:r>
    </w:p>
    <w:p w:rsidR="00D26B21" w:rsidRPr="00454341" w:rsidP="00D26B21">
      <w:pPr>
        <w:pStyle w:val="ListParagraph"/>
        <w:numPr>
          <w:ilvl w:val="0"/>
          <w:numId w:val="3"/>
        </w:numPr>
        <w:bidi w:val="0"/>
        <w:jc w:val="both"/>
        <w:rPr>
          <w:rFonts w:ascii="Verdana" w:eastAsia="Verdana" w:hAnsi="Verdana" w:cs="Verdana"/>
          <w:sz w:val="20"/>
          <w:szCs w:val="20"/>
        </w:rPr>
      </w:pPr>
      <w:r>
        <w:rPr>
          <w:rFonts w:ascii="Verdana" w:eastAsia="Verdana" w:hAnsi="Verdana" w:cs="Verdana"/>
          <w:b w:val="0"/>
          <w:bCs w:val="0"/>
          <w:i w:val="0"/>
          <w:iCs w:val="0"/>
          <w:sz w:val="20"/>
          <w:szCs w:val="20"/>
          <w:u w:val="none"/>
          <w:vertAlign w:val="baseline"/>
          <w:rtl w:val="0"/>
        </w:rPr>
        <w:t>generating DOI numbers for published articles;</w:t>
      </w:r>
    </w:p>
    <w:p w:rsidR="00D26B21" w:rsidRPr="00454341" w:rsidP="00D26B21">
      <w:pPr>
        <w:pStyle w:val="ListParagraph"/>
        <w:numPr>
          <w:ilvl w:val="0"/>
          <w:numId w:val="3"/>
        </w:numPr>
        <w:bidi w:val="0"/>
        <w:jc w:val="both"/>
        <w:rPr>
          <w:rFonts w:ascii="Verdana" w:eastAsia="Verdana" w:hAnsi="Verdana" w:cs="Verdana"/>
          <w:sz w:val="20"/>
          <w:szCs w:val="20"/>
        </w:rPr>
      </w:pPr>
      <w:r>
        <w:rPr>
          <w:rFonts w:ascii="Verdana" w:hAnsi="Verdana"/>
          <w:b w:val="0"/>
          <w:bCs w:val="0"/>
          <w:i w:val="0"/>
          <w:iCs w:val="0"/>
          <w:sz w:val="20"/>
          <w:szCs w:val="20"/>
          <w:u w:val="none"/>
          <w:vertAlign w:val="baseline"/>
          <w:rtl w:val="0"/>
        </w:rPr>
        <w:t>creating metadata and XML format for articles comprising around 250 pages annually;</w:t>
      </w:r>
    </w:p>
    <w:p w:rsidR="00D26B21" w:rsidRPr="00C90ACE" w:rsidP="00D26B21">
      <w:pPr>
        <w:pStyle w:val="ListParagraph"/>
        <w:numPr>
          <w:ilvl w:val="0"/>
          <w:numId w:val="3"/>
        </w:numPr>
        <w:bidi w:val="0"/>
        <w:jc w:val="both"/>
        <w:rPr>
          <w:rFonts w:ascii="Verdana" w:eastAsia="Verdana" w:hAnsi="Verdana" w:cs="Verdana"/>
          <w:sz w:val="20"/>
          <w:szCs w:val="20"/>
        </w:rPr>
      </w:pPr>
      <w:r>
        <w:rPr>
          <w:rFonts w:ascii="Verdana" w:eastAsia="Verdana" w:hAnsi="Verdana" w:cs="Verdana"/>
          <w:b w:val="0"/>
          <w:bCs w:val="0"/>
          <w:i w:val="0"/>
          <w:iCs w:val="0"/>
          <w:sz w:val="20"/>
          <w:szCs w:val="20"/>
          <w:u w:val="none"/>
          <w:vertAlign w:val="baseline"/>
          <w:rtl w:val="0"/>
        </w:rPr>
        <w:t xml:space="preserve">provision of indexing of the journal in databases in which the journal Zdravstveno varstvo already participates, and in databases that will appear in the future and which will be important for the journal and enhance its recognition. Support particularly in the databases Scopus, Clarivate Web of Science, PubMed, Medline and more. </w:t>
      </w:r>
    </w:p>
    <w:p w:rsidR="00D26B21" w:rsidRPr="00C90ACE" w:rsidP="00D26B21">
      <w:pPr>
        <w:pStyle w:val="ListParagraph"/>
        <w:numPr>
          <w:ilvl w:val="0"/>
          <w:numId w:val="3"/>
        </w:numPr>
        <w:bidi w:val="0"/>
        <w:jc w:val="both"/>
        <w:rPr>
          <w:rFonts w:ascii="Verdana" w:eastAsia="Verdana" w:hAnsi="Verdana" w:cs="Verdana"/>
          <w:sz w:val="20"/>
          <w:szCs w:val="20"/>
        </w:rPr>
      </w:pPr>
      <w:r>
        <w:rPr>
          <w:rFonts w:ascii="Verdana" w:eastAsia="Verdana" w:hAnsi="Verdana" w:cs="Verdana"/>
          <w:b w:val="0"/>
          <w:bCs w:val="0"/>
          <w:i w:val="0"/>
          <w:iCs w:val="0"/>
          <w:sz w:val="20"/>
          <w:szCs w:val="20"/>
          <w:u w:val="none"/>
          <w:vertAlign w:val="baseline"/>
          <w:rtl w:val="0"/>
        </w:rPr>
        <w:t>ensuring long-term access to the journal in internationally recognised repositories such as PubMed Central, in open-access journal directories (DOAJ), online libraries and so forth.</w:t>
      </w:r>
    </w:p>
    <w:p w:rsidR="00454341" w:rsidRPr="00454341" w:rsidP="00E25BBA">
      <w:pPr>
        <w:pStyle w:val="ListParagraph"/>
        <w:numPr>
          <w:ilvl w:val="0"/>
          <w:numId w:val="3"/>
        </w:numPr>
        <w:bidi w:val="0"/>
        <w:jc w:val="both"/>
        <w:rPr>
          <w:rFonts w:ascii="Verdana" w:eastAsia="Verdana" w:hAnsi="Verdana" w:cs="Verdana"/>
          <w:sz w:val="20"/>
          <w:szCs w:val="20"/>
        </w:rPr>
      </w:pPr>
      <w:r>
        <w:rPr>
          <w:rFonts w:ascii="Verdana" w:eastAsia="Verdana" w:hAnsi="Verdana" w:cs="Verdana"/>
          <w:b w:val="0"/>
          <w:bCs w:val="0"/>
          <w:i w:val="0"/>
          <w:iCs w:val="0"/>
          <w:sz w:val="20"/>
          <w:szCs w:val="20"/>
          <w:u w:val="none"/>
          <w:vertAlign w:val="baseline"/>
          <w:rtl w:val="0"/>
        </w:rPr>
        <w:t xml:space="preserve">annual reporting on operation of the journal; annual report on IF achievement, number of views of our website, number of articles users have downloaded from the website and so forth. </w:t>
      </w:r>
    </w:p>
    <w:p w:rsidR="00D26B21" w:rsidRPr="00454341" w:rsidP="00E25BBA">
      <w:pPr>
        <w:pStyle w:val="ListParagraph"/>
        <w:numPr>
          <w:ilvl w:val="0"/>
          <w:numId w:val="3"/>
        </w:numPr>
        <w:bidi w:val="0"/>
        <w:jc w:val="both"/>
        <w:rPr>
          <w:rFonts w:ascii="Verdana" w:eastAsia="Verdana" w:hAnsi="Verdana" w:cs="Verdana"/>
          <w:sz w:val="20"/>
          <w:szCs w:val="20"/>
        </w:rPr>
      </w:pPr>
      <w:r>
        <w:rPr>
          <w:rFonts w:ascii="Verdana" w:eastAsia="Verdana" w:hAnsi="Verdana" w:cs="Verdana"/>
          <w:b w:val="0"/>
          <w:bCs w:val="0"/>
          <w:i w:val="0"/>
          <w:iCs w:val="0"/>
          <w:sz w:val="20"/>
          <w:szCs w:val="20"/>
          <w:u w:val="none"/>
          <w:vertAlign w:val="baseline"/>
          <w:rtl w:val="0"/>
        </w:rPr>
        <w:t>advice and efforts towards enhancing the recognition of the journal (IF); in the sense of keeping pace with developments in the area of databases, proposing inclusion in new databases and procedures to be carried out by the tenderer itself, proposing guidelines for development and so forth.</w:t>
      </w:r>
    </w:p>
    <w:p w:rsidR="009432C6" w:rsidRPr="00C90ACE" w:rsidP="009432C6">
      <w:pPr>
        <w:pStyle w:val="ListParagraph"/>
        <w:numPr>
          <w:ilvl w:val="0"/>
          <w:numId w:val="3"/>
        </w:numPr>
        <w:shd w:val="clear" w:color="auto" w:fill="FFFFFF" w:themeFill="background1"/>
        <w:bidi w:val="0"/>
        <w:spacing w:before="240" w:line="276" w:lineRule="auto"/>
        <w:ind w:right="240"/>
        <w:jc w:val="both"/>
        <w:rPr>
          <w:rFonts w:ascii="Verdana" w:hAnsi="Verdana" w:cs="Calibri"/>
          <w:sz w:val="20"/>
          <w:szCs w:val="20"/>
        </w:rPr>
      </w:pPr>
      <w:r>
        <w:rPr>
          <w:rFonts w:ascii="Verdana" w:hAnsi="Verdana" w:cs="Calibri"/>
          <w:b w:val="0"/>
          <w:bCs w:val="0"/>
          <w:i w:val="0"/>
          <w:iCs w:val="0"/>
          <w:sz w:val="20"/>
          <w:szCs w:val="20"/>
          <w:u w:val="none"/>
          <w:vertAlign w:val="baseline"/>
          <w:rtl w:val="0"/>
        </w:rPr>
        <w:t>the journal Zdravstveno varstvo must be freely accessible, and access to our articles should not have a paywall;</w:t>
      </w:r>
    </w:p>
    <w:p w:rsidR="00DC26EF" w:rsidP="00267AA4">
      <w:pPr>
        <w:pStyle w:val="ListParagraph"/>
        <w:numPr>
          <w:ilvl w:val="0"/>
          <w:numId w:val="3"/>
        </w:numPr>
        <w:shd w:val="clear" w:color="auto" w:fill="FFFFFF" w:themeFill="background1"/>
        <w:bidi w:val="0"/>
        <w:spacing w:before="240" w:line="276" w:lineRule="auto"/>
        <w:ind w:right="240"/>
        <w:jc w:val="both"/>
        <w:rPr>
          <w:rFonts w:ascii="Verdana" w:hAnsi="Verdana" w:cs="Calibri"/>
          <w:sz w:val="20"/>
          <w:szCs w:val="20"/>
        </w:rPr>
      </w:pPr>
      <w:r>
        <w:rPr>
          <w:rFonts w:ascii="Verdana" w:hAnsi="Verdana" w:cs="Calibri"/>
          <w:b w:val="0"/>
          <w:bCs w:val="0"/>
          <w:i w:val="0"/>
          <w:iCs w:val="0"/>
          <w:sz w:val="20"/>
          <w:szCs w:val="20"/>
          <w:u w:val="none"/>
          <w:vertAlign w:val="baseline"/>
          <w:rtl w:val="0"/>
        </w:rPr>
        <w:t xml:space="preserve">the journal does not seek to charge APC costs; </w:t>
      </w:r>
    </w:p>
    <w:p w:rsidR="00BD3BF1" w:rsidRPr="00DC26EF" w:rsidP="00267AA4">
      <w:pPr>
        <w:pStyle w:val="ListParagraph"/>
        <w:numPr>
          <w:ilvl w:val="0"/>
          <w:numId w:val="3"/>
        </w:numPr>
        <w:shd w:val="clear" w:color="auto" w:fill="FFFFFF" w:themeFill="background1"/>
        <w:bidi w:val="0"/>
        <w:spacing w:before="240" w:line="276" w:lineRule="auto"/>
        <w:ind w:right="240"/>
        <w:jc w:val="both"/>
        <w:rPr>
          <w:rFonts w:ascii="Verdana" w:hAnsi="Verdana" w:cs="Calibri"/>
          <w:sz w:val="20"/>
          <w:szCs w:val="20"/>
        </w:rPr>
      </w:pPr>
      <w:r>
        <w:rPr>
          <w:rFonts w:ascii="Verdana" w:hAnsi="Verdana" w:cs="Calibri"/>
          <w:b w:val="0"/>
          <w:bCs w:val="0"/>
          <w:i w:val="0"/>
          <w:iCs w:val="0"/>
          <w:sz w:val="20"/>
          <w:szCs w:val="20"/>
          <w:u w:val="none"/>
          <w:vertAlign w:val="baseline"/>
          <w:rtl w:val="0"/>
        </w:rPr>
        <w:t xml:space="preserve">copyright is retained by the NIJZ. </w:t>
      </w:r>
    </w:p>
    <w:p w:rsidR="00D26B21" w:rsidRPr="00C90ACE" w:rsidP="00D26B21">
      <w:pPr>
        <w:jc w:val="both"/>
        <w:rPr>
          <w:rFonts w:ascii="Verdana" w:eastAsia="Verdana" w:hAnsi="Verdana" w:cs="Verdana"/>
          <w:sz w:val="20"/>
          <w:szCs w:val="20"/>
        </w:rPr>
      </w:pPr>
    </w:p>
    <w:tbl>
      <w:tblPr>
        <w:tblW w:w="893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tblPr>
      <w:tblGrid>
        <w:gridCol w:w="8931"/>
      </w:tblGrid>
      <w:tr w:rsidTr="009474B5">
        <w:tblPrEx>
          <w:tblW w:w="893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tblPrEx>
        <w:trPr>
          <w:trHeight w:val="1133"/>
        </w:trPr>
        <w:tc>
          <w:tcPr>
            <w:tcW w:w="8931" w:type="dxa"/>
          </w:tcPr>
          <w:p w:rsidR="009474B5" w:rsidRPr="00C90ACE" w:rsidP="00905191">
            <w:pPr>
              <w:bidi w:val="0"/>
              <w:jc w:val="both"/>
              <w:rPr>
                <w:rFonts w:ascii="Verdana" w:hAnsi="Verdana" w:cs="Calibri"/>
                <w:sz w:val="20"/>
                <w:szCs w:val="20"/>
              </w:rPr>
            </w:pPr>
            <w:r>
              <w:rPr>
                <w:rFonts w:ascii="Verdana" w:hAnsi="Verdana" w:cs="Calibri"/>
                <w:b w:val="0"/>
                <w:bCs w:val="0"/>
                <w:i w:val="0"/>
                <w:iCs w:val="0"/>
                <w:sz w:val="20"/>
                <w:szCs w:val="20"/>
                <w:u w:val="none"/>
                <w:vertAlign w:val="baseline"/>
                <w:rtl w:val="0"/>
              </w:rPr>
              <w:t>By signing below, the tenderer confirms agreement with the contracting authority’s specifications and technical requirements.</w:t>
            </w:r>
          </w:p>
          <w:p w:rsidR="009474B5" w:rsidRPr="00C90ACE" w:rsidP="00905191">
            <w:pPr>
              <w:pStyle w:val="BodyText"/>
              <w:bidi w:val="0"/>
              <w:rPr>
                <w:rFonts w:ascii="Verdana" w:hAnsi="Verdana" w:cs="Calibri"/>
              </w:rPr>
            </w:pPr>
            <w:r>
              <w:rPr>
                <w:rFonts w:ascii="Verdana" w:hAnsi="Verdana" w:cs="Calibri"/>
                <w:b w:val="0"/>
                <w:bCs w:val="0"/>
                <w:i w:val="0"/>
                <w:iCs w:val="0"/>
                <w:sz w:val="20"/>
                <w:u w:val="none"/>
                <w:vertAlign w:val="baseline"/>
                <w:rtl w:val="0"/>
              </w:rPr>
              <w:t>Place and date:                                                 Signature of tenderer:</w:t>
            </w:r>
          </w:p>
        </w:tc>
      </w:tr>
    </w:tbl>
    <w:p w:rsidR="009474B5" w:rsidRPr="00C90ACE">
      <w:pPr>
        <w:rPr>
          <w:rFonts w:ascii="Verdana" w:hAnsi="Verdana"/>
        </w:rPr>
      </w:pPr>
    </w:p>
    <w:p w:rsidR="00114795" w:rsidRPr="00C90ACE">
      <w:pPr>
        <w:rPr>
          <w:rFonts w:ascii="Verdana" w:hAnsi="Verdana"/>
        </w:rPr>
      </w:pPr>
    </w:p>
    <w:p w:rsidR="00114795" w:rsidRPr="00C90ACE">
      <w:pPr>
        <w:rPr>
          <w:rFonts w:ascii="Verdana" w:hAnsi="Verdana"/>
        </w:rPr>
      </w:pPr>
    </w:p>
    <w:p w:rsidR="009D6E86" w:rsidRPr="00C90ACE" w:rsidP="00B93FD8">
      <w:pPr>
        <w:rPr>
          <w:rFonts w:ascii="Verdana" w:hAnsi="Verdana"/>
        </w:rPr>
      </w:pPr>
    </w:p>
    <w:sectPr>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5412" w:rsidRPr="00AB699B" w:rsidP="00205412">
    <w:pPr>
      <w:pStyle w:val="Header"/>
      <w:pBdr>
        <w:bottom w:val="single" w:sz="4" w:space="1" w:color="000000"/>
      </w:pBdr>
      <w:bidi w:val="0"/>
      <w:rPr>
        <w:rFonts w:ascii="Verdana" w:hAnsi="Verdana"/>
        <w:sz w:val="16"/>
        <w:szCs w:val="19"/>
      </w:rPr>
    </w:pPr>
    <w:r>
      <w:rPr>
        <w:rFonts w:ascii="Verdana" w:hAnsi="Verdana"/>
        <w:b w:val="0"/>
        <w:bCs w:val="0"/>
        <w:i w:val="0"/>
        <w:iCs w:val="0"/>
        <w:sz w:val="16"/>
        <w:szCs w:val="19"/>
        <w:u w:val="none"/>
        <w:vertAlign w:val="baseline"/>
        <w:rtl w:val="0"/>
      </w:rPr>
      <w:t xml:space="preserve">Form P-5                                                                                                                              Specifications </w:t>
    </w:r>
  </w:p>
  <w:p w:rsidR="0020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9446A9"/>
    <w:multiLevelType w:val="hybridMultilevel"/>
    <w:tmpl w:val="15026B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13000C8E"/>
    <w:multiLevelType w:val="hybridMultilevel"/>
    <w:tmpl w:val="AF4222FC"/>
    <w:lvl w:ilvl="0">
      <w:start w:val="1"/>
      <w:numFmt w:val="bullet"/>
      <w:lvlText w:val=""/>
      <w:lvlJc w:val="left"/>
      <w:pPr>
        <w:ind w:left="360" w:hanging="360"/>
      </w:pPr>
      <w:rPr>
        <w:rFonts w:ascii="Wingdings 2" w:hAnsi="Wingdings 2" w:cs="Wingdings 2" w:hint="default"/>
        <w:color w:val="auto"/>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29B5330A"/>
    <w:multiLevelType w:val="hybridMultilevel"/>
    <w:tmpl w:val="735C2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7715141"/>
    <w:multiLevelType w:val="hybridMultilevel"/>
    <w:tmpl w:val="8A7AD6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AE35ECF"/>
    <w:multiLevelType w:val="hybridMultilevel"/>
    <w:tmpl w:val="73B4573C"/>
    <w:lvl w:ilvl="0">
      <w:start w:val="0"/>
      <w:numFmt w:val="bullet"/>
      <w:lvlText w:val="-"/>
      <w:lvlJc w:val="left"/>
      <w:pPr>
        <w:ind w:left="0" w:hanging="360"/>
      </w:pPr>
      <w:rPr>
        <w:rFonts w:ascii="Verdana" w:eastAsia="Verdana" w:hAnsi="Verdana" w:cs="Verdana"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
    <w:nsid w:val="6F125B04"/>
    <w:multiLevelType w:val="hybridMultilevel"/>
    <w:tmpl w:val="D468359A"/>
    <w:lvl w:ilvl="0">
      <w:start w:val="0"/>
      <w:numFmt w:val="bullet"/>
      <w:lvlText w:val="-"/>
      <w:lvlJc w:val="left"/>
      <w:pPr>
        <w:ind w:left="0" w:hanging="360"/>
      </w:pPr>
      <w:rPr>
        <w:rFonts w:ascii="Verdana" w:eastAsia="Verdana" w:hAnsi="Verdana" w:cs="Verdana"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BCD"/>
    <w:rsid w:val="00086BCD"/>
    <w:rsid w:val="00093542"/>
    <w:rsid w:val="00096FA7"/>
    <w:rsid w:val="000A202D"/>
    <w:rsid w:val="000E3949"/>
    <w:rsid w:val="00114795"/>
    <w:rsid w:val="00131666"/>
    <w:rsid w:val="00175A46"/>
    <w:rsid w:val="001923B2"/>
    <w:rsid w:val="001D7149"/>
    <w:rsid w:val="00205412"/>
    <w:rsid w:val="002263EA"/>
    <w:rsid w:val="00267AA4"/>
    <w:rsid w:val="00291650"/>
    <w:rsid w:val="002A0CAF"/>
    <w:rsid w:val="00321D1A"/>
    <w:rsid w:val="0033577A"/>
    <w:rsid w:val="003575C8"/>
    <w:rsid w:val="00393CE3"/>
    <w:rsid w:val="003A47A5"/>
    <w:rsid w:val="003C3E8E"/>
    <w:rsid w:val="003C4122"/>
    <w:rsid w:val="00454341"/>
    <w:rsid w:val="00517A29"/>
    <w:rsid w:val="0056211C"/>
    <w:rsid w:val="005B0C4C"/>
    <w:rsid w:val="006923EB"/>
    <w:rsid w:val="00692499"/>
    <w:rsid w:val="006A530A"/>
    <w:rsid w:val="006B45C4"/>
    <w:rsid w:val="00724F7E"/>
    <w:rsid w:val="007348C4"/>
    <w:rsid w:val="00734935"/>
    <w:rsid w:val="008A30A2"/>
    <w:rsid w:val="008D1378"/>
    <w:rsid w:val="00905191"/>
    <w:rsid w:val="009432C6"/>
    <w:rsid w:val="009474B5"/>
    <w:rsid w:val="009641BE"/>
    <w:rsid w:val="00975694"/>
    <w:rsid w:val="0098694A"/>
    <w:rsid w:val="00987424"/>
    <w:rsid w:val="009D1A79"/>
    <w:rsid w:val="009D6E86"/>
    <w:rsid w:val="009E1A97"/>
    <w:rsid w:val="00AB699B"/>
    <w:rsid w:val="00AC2B8F"/>
    <w:rsid w:val="00AC5522"/>
    <w:rsid w:val="00B33CFD"/>
    <w:rsid w:val="00B47C62"/>
    <w:rsid w:val="00B47CC6"/>
    <w:rsid w:val="00B51C53"/>
    <w:rsid w:val="00B834EA"/>
    <w:rsid w:val="00B93FD8"/>
    <w:rsid w:val="00B97C50"/>
    <w:rsid w:val="00BC2394"/>
    <w:rsid w:val="00BD3BF1"/>
    <w:rsid w:val="00C34094"/>
    <w:rsid w:val="00C343A0"/>
    <w:rsid w:val="00C6104B"/>
    <w:rsid w:val="00C90ACE"/>
    <w:rsid w:val="00C93D06"/>
    <w:rsid w:val="00C97F2F"/>
    <w:rsid w:val="00D22EA1"/>
    <w:rsid w:val="00D26B21"/>
    <w:rsid w:val="00D84742"/>
    <w:rsid w:val="00DC26EF"/>
    <w:rsid w:val="00DF778E"/>
    <w:rsid w:val="00E21420"/>
    <w:rsid w:val="00E25BBA"/>
    <w:rsid w:val="00E66FD5"/>
    <w:rsid w:val="00EB41F2"/>
    <w:rsid w:val="00ED1014"/>
    <w:rsid w:val="00FA2590"/>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474B5"/>
    <w:pPr>
      <w:spacing w:after="0" w:line="240" w:lineRule="auto"/>
      <w:jc w:val="both"/>
    </w:pPr>
    <w:rPr>
      <w:rFonts w:ascii="Times New Roman" w:eastAsia="Times New Roman" w:hAnsi="Times New Roman" w:cs="Times New Roman"/>
      <w:sz w:val="24"/>
      <w:szCs w:val="20"/>
      <w:lang w:eastAsia="sl-SI"/>
    </w:rPr>
  </w:style>
  <w:style w:type="character" w:customStyle="1" w:styleId="BodyTextChar">
    <w:name w:val="Body Text Char"/>
    <w:basedOn w:val="DefaultParagraphFont"/>
    <w:link w:val="BodyText"/>
    <w:rsid w:val="009474B5"/>
    <w:rPr>
      <w:rFonts w:ascii="Times New Roman" w:eastAsia="Times New Roman" w:hAnsi="Times New Roman" w:cs="Times New Roman"/>
      <w:sz w:val="24"/>
      <w:szCs w:val="20"/>
      <w:lang w:eastAsia="sl-SI"/>
    </w:rPr>
  </w:style>
  <w:style w:type="character" w:styleId="Hyperlink">
    <w:name w:val="Hyperlink"/>
    <w:basedOn w:val="DefaultParagraphFont"/>
    <w:uiPriority w:val="99"/>
    <w:semiHidden/>
    <w:unhideWhenUsed/>
    <w:rsid w:val="00D26B21"/>
    <w:rPr>
      <w:color w:val="0000FF"/>
      <w:u w:val="single"/>
    </w:rPr>
  </w:style>
  <w:style w:type="paragraph" w:styleId="ListParagraph">
    <w:name w:val="List Paragraph"/>
    <w:basedOn w:val="Normal"/>
    <w:uiPriority w:val="34"/>
    <w:qFormat/>
    <w:rsid w:val="00D26B21"/>
    <w:pPr>
      <w:ind w:left="720"/>
      <w:contextualSpacing/>
    </w:pPr>
  </w:style>
  <w:style w:type="paragraph" w:styleId="BalloonText">
    <w:name w:val="Balloon Text"/>
    <w:basedOn w:val="Normal"/>
    <w:link w:val="BalloonTextChar"/>
    <w:uiPriority w:val="99"/>
    <w:semiHidden/>
    <w:unhideWhenUsed/>
    <w:rsid w:val="00114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95"/>
    <w:rPr>
      <w:rFonts w:ascii="Segoe UI" w:hAnsi="Segoe UI" w:cs="Segoe UI"/>
      <w:sz w:val="18"/>
      <w:szCs w:val="18"/>
    </w:rPr>
  </w:style>
  <w:style w:type="paragraph" w:styleId="Header">
    <w:name w:val="header"/>
    <w:basedOn w:val="Normal"/>
    <w:link w:val="HeaderChar"/>
    <w:uiPriority w:val="99"/>
    <w:unhideWhenUsed/>
    <w:rsid w:val="002054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412"/>
  </w:style>
  <w:style w:type="paragraph" w:styleId="Footer">
    <w:name w:val="footer"/>
    <w:basedOn w:val="Normal"/>
    <w:link w:val="FooterChar"/>
    <w:uiPriority w:val="99"/>
    <w:unhideWhenUsed/>
    <w:rsid w:val="002054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tel:18542476"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NIJZ</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Liljana Petruša</dc:creator>
  <cp:lastModifiedBy>Liljana Petruša</cp:lastModifiedBy>
  <cp:revision>11</cp:revision>
  <cp:lastPrinted>2021-08-24T09:16:00Z</cp:lastPrinted>
  <dcterms:created xsi:type="dcterms:W3CDTF">2021-09-02T05:18:00Z</dcterms:created>
  <dcterms:modified xsi:type="dcterms:W3CDTF">2021-09-03T08:34:00Z</dcterms:modified>
</cp:coreProperties>
</file>